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96"/>
        </w:tabs>
        <w:kinsoku/>
        <w:wordWrap/>
        <w:overflowPunct/>
        <w:topLinePunct w:val="0"/>
        <w:autoSpaceDE/>
        <w:autoSpaceDN/>
        <w:bidi w:val="0"/>
        <w:adjustRightInd/>
        <w:snapToGrid w:val="0"/>
        <w:jc w:val="both"/>
        <w:textAlignment w:val="auto"/>
        <w:outlineLvl w:val="9"/>
        <w:rPr>
          <w:rFonts w:hint="eastAsia" w:cs="Times New Roman"/>
          <w:color w:val="auto"/>
          <w:kern w:val="2"/>
          <w:sz w:val="32"/>
          <w:szCs w:val="32"/>
          <w:lang w:val="en-US" w:eastAsia="zh-CN" w:bidi="ar-SA"/>
        </w:rPr>
      </w:pPr>
      <w:bookmarkStart w:id="0" w:name="_GoBack"/>
      <w:bookmarkEnd w:id="0"/>
      <w:r>
        <w:rPr>
          <w:rFonts w:hint="eastAsia" w:cs="Times New Roman"/>
          <w:color w:val="auto"/>
          <w:kern w:val="2"/>
          <w:sz w:val="32"/>
          <w:szCs w:val="32"/>
          <w:lang w:val="en-US" w:eastAsia="zh-CN" w:bidi="ar-SA"/>
        </w:rPr>
        <w:t>附件1</w:t>
      </w:r>
    </w:p>
    <w:p>
      <w:pPr>
        <w:keepNext w:val="0"/>
        <w:keepLines w:val="0"/>
        <w:pageBreakBefore w:val="0"/>
        <w:widowControl w:val="0"/>
        <w:tabs>
          <w:tab w:val="left" w:pos="1696"/>
        </w:tabs>
        <w:kinsoku/>
        <w:wordWrap/>
        <w:overflowPunct/>
        <w:topLinePunct w:val="0"/>
        <w:autoSpaceDE/>
        <w:autoSpaceDN/>
        <w:bidi w:val="0"/>
        <w:adjustRightInd/>
        <w:snapToGrid/>
        <w:jc w:val="center"/>
        <w:textAlignment w:val="auto"/>
        <w:outlineLvl w:val="9"/>
        <w:rPr>
          <w:rFonts w:hint="eastAsia" w:cs="Times New Roman"/>
          <w:color w:val="auto"/>
          <w:kern w:val="2"/>
          <w:sz w:val="32"/>
          <w:szCs w:val="32"/>
          <w:lang w:val="en-US" w:eastAsia="zh-CN" w:bidi="ar-SA"/>
        </w:rPr>
      </w:pPr>
      <w:r>
        <w:rPr>
          <w:rFonts w:hint="eastAsia" w:ascii="方正小标宋简体" w:hAnsi="方正小标宋简体" w:eastAsia="方正小标宋简体" w:cs="方正小标宋简体"/>
          <w:b w:val="0"/>
          <w:bCs w:val="0"/>
          <w:i w:val="0"/>
          <w:iCs w:val="0"/>
          <w:color w:val="000000"/>
          <w:kern w:val="0"/>
          <w:sz w:val="32"/>
          <w:szCs w:val="32"/>
          <w:u w:val="none"/>
          <w:lang w:val="en-US" w:eastAsia="zh-CN" w:bidi="ar"/>
        </w:rPr>
        <w:t>宁夏电力投资集团公司成熟人才招聘岗位信息表</w:t>
      </w:r>
    </w:p>
    <w:tbl>
      <w:tblPr>
        <w:tblStyle w:val="3"/>
        <w:tblW w:w="94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726"/>
        <w:gridCol w:w="2430"/>
        <w:gridCol w:w="855"/>
        <w:gridCol w:w="4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岗位</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人数</w:t>
            </w:r>
          </w:p>
        </w:tc>
        <w:tc>
          <w:tcPr>
            <w:tcW w:w="4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源</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限</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新能源项目经理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1.工程管理或电力相关专业大学本科及以上学历，项目经理40周岁及以下，工程管理专责35周岁及以下；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2.项目经理从事选聘岗位相应工作5年级以上，工程管理专责从事选聘岗位相应工作3年及以上；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3.具有国家相关法律、法规、规章和行业规定的任职资格；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4.具有工程管理、项目建设、生产管理等工作经验。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工程管理专责</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4名</w:t>
            </w:r>
          </w:p>
        </w:tc>
        <w:tc>
          <w:tcPr>
            <w:tcW w:w="47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生产管理部主任</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年及以上相关岗位工作经验；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2、年龄在40岁及以下（1983年12月31日以后出生）；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3、大学本科及以上电力相关专业学历；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4、具有国家相关法律、法规、规章和行业管理要求的任职资；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5、具有突出的工作业绩和丰富的选聘岗位工作经验；</w:t>
            </w:r>
          </w:p>
          <w:p>
            <w:pPr>
              <w:numPr>
                <w:ilvl w:val="0"/>
                <w:numId w:val="1"/>
              </w:num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生产管理部主任需具有相应层次部门副职工作经历，中级及以上职称。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交易中心负责人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太阳山运维中心负责人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盐池运维中心负责人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中卫迎水桥运维中心负责人</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1名</w:t>
            </w:r>
          </w:p>
        </w:tc>
        <w:tc>
          <w:tcPr>
            <w:tcW w:w="4749" w:type="dxa"/>
            <w:vMerge w:val="continue"/>
            <w:tcBorders>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永利能源有限公司</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新能源项目经理</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1名</w:t>
            </w:r>
          </w:p>
        </w:tc>
        <w:tc>
          <w:tcPr>
            <w:tcW w:w="474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1、项目经理从事过装机容量200MW及以上新能源发电企业3年及以上工程建设专工及以上岗位工作，有完整周期新能源项目开发建设经历；</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2、大学本科及以上电力相关专业毕业生；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3、具有国家相关法律、法规、规章和行业管理要求的任职资格；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4、中级及以上职称。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2"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新能源工程建设主管</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4名</w:t>
            </w:r>
          </w:p>
        </w:tc>
        <w:tc>
          <w:tcPr>
            <w:tcW w:w="474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本科学历，电力相关专业，助理级及以上职称（在此基础上持有电气检修专业技能等级证书或电网调控运行资格证书优先）；</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从事过装机容量50MW及以上新能源发电企业3年及以上生产运维、工程建设、安全监察工作（在此基础上有新能源发电企业点检、工程基建经历者优先）。</w:t>
            </w:r>
          </w:p>
        </w:tc>
      </w:tr>
    </w:tbl>
    <w:p>
      <w:pPr>
        <w:adjustRightInd w:val="0"/>
        <w:snapToGrid w:val="0"/>
        <w:spacing w:line="560" w:lineRule="exact"/>
        <w:jc w:val="both"/>
        <w:rPr>
          <w:rFonts w:hint="eastAsia" w:ascii="黑体" w:hAnsi="黑体" w:eastAsia="黑体" w:cs="黑体"/>
          <w:color w:val="auto"/>
          <w:sz w:val="32"/>
          <w:szCs w:val="32"/>
          <w:u w:val="none"/>
          <w:lang w:val="en-US"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F6F2B"/>
    <w:multiLevelType w:val="singleLevel"/>
    <w:tmpl w:val="C0FF6F2B"/>
    <w:lvl w:ilvl="0" w:tentative="0">
      <w:start w:val="6"/>
      <w:numFmt w:val="decimal"/>
      <w:suff w:val="nothing"/>
      <w:lvlText w:val="%1、"/>
      <w:lvlJc w:val="left"/>
    </w:lvl>
  </w:abstractNum>
  <w:abstractNum w:abstractNumId="1">
    <w:nsid w:val="1D8E3B99"/>
    <w:multiLevelType w:val="singleLevel"/>
    <w:tmpl w:val="1D8E3B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C0B5A"/>
    <w:rsid w:val="46E7041F"/>
    <w:rsid w:val="5CDC0B5A"/>
    <w:rsid w:val="60FEC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adjustRightInd w:val="0"/>
      <w:snapToGrid w:val="0"/>
      <w:spacing w:after="0"/>
      <w:jc w:val="left"/>
    </w:pPr>
    <w:rPr>
      <w:rFonts w:ascii="Times New Roman" w:hAnsi="Times New Roman" w:eastAsia="宋体" w:cs="Times New Roman"/>
      <w:kern w:val="2"/>
      <w:sz w:val="2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669</Words>
  <Characters>688</Characters>
  <Lines>0</Lines>
  <Paragraphs>0</Paragraphs>
  <TotalTime>32</TotalTime>
  <ScaleCrop>false</ScaleCrop>
  <LinksUpToDate>false</LinksUpToDate>
  <CharactersWithSpaces>689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2024-12-09T11:26:00Z</dcterms:created>
  <dc:creator>Trust me</dc:creator>
  <cp:lastModifiedBy>gzw</cp:lastModifiedBy>
  <dcterms:modified xsi:type="dcterms:W3CDTF">2024-12-10T15:14:29Z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B96A46BBD9D44FD3A3621CA2B60F9D2B_11</vt:lpwstr>
  </property>
</Properties>
</file>